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F1E9" w14:textId="77777777" w:rsidR="00577F54" w:rsidRDefault="00000000">
      <w:pPr>
        <w:spacing w:after="80"/>
        <w:jc w:val="center"/>
      </w:pPr>
      <w:r>
        <w:rPr>
          <w:rFonts w:eastAsia="Times New Roman"/>
          <w:b/>
          <w:bCs/>
          <w:sz w:val="28"/>
          <w:szCs w:val="28"/>
        </w:rPr>
        <w:t>COMMENT ON ADVANCE NOTICE OF PROPOSED RULEMAKING</w:t>
      </w:r>
    </w:p>
    <w:p w14:paraId="69CC69D5" w14:textId="77777777" w:rsidR="00577F54" w:rsidRDefault="00000000">
      <w:pPr>
        <w:spacing w:after="80"/>
        <w:jc w:val="center"/>
      </w:pPr>
      <w:r>
        <w:rPr>
          <w:rFonts w:eastAsia="Times New Roman"/>
          <w:b/>
          <w:bCs/>
          <w:sz w:val="26"/>
          <w:szCs w:val="26"/>
        </w:rPr>
        <w:t>Prediction Markets (RIN 3038-AF65)</w:t>
      </w:r>
    </w:p>
    <w:p w14:paraId="620509B0" w14:textId="77777777" w:rsidR="00577F54" w:rsidRDefault="00000000">
      <w:pPr>
        <w:spacing w:after="360"/>
        <w:jc w:val="center"/>
      </w:pPr>
      <w:r>
        <w:rPr>
          <w:rFonts w:eastAsia="Times New Roman"/>
          <w:sz w:val="22"/>
          <w:szCs w:val="22"/>
        </w:rPr>
        <w:t>91 Fed. Reg. 12516 (March 16, 2026)</w:t>
      </w:r>
    </w:p>
    <w:p w14:paraId="765181B2" w14:textId="2263F85B" w:rsidR="00577F54" w:rsidRDefault="00000000">
      <w:pPr>
        <w:spacing w:after="120"/>
      </w:pPr>
      <w:r>
        <w:rPr>
          <w:rFonts w:eastAsia="Times New Roman"/>
        </w:rPr>
        <w:t xml:space="preserve">April </w:t>
      </w:r>
      <w:r w:rsidR="002A1C57">
        <w:rPr>
          <w:rFonts w:eastAsia="Times New Roman" w:hint="eastAsia"/>
        </w:rPr>
        <w:t>3</w:t>
      </w:r>
      <w:r>
        <w:rPr>
          <w:rFonts w:eastAsia="Times New Roman"/>
        </w:rPr>
        <w:t>, 2026</w:t>
      </w:r>
    </w:p>
    <w:p w14:paraId="2FE984EC" w14:textId="77777777" w:rsidR="00577F54" w:rsidRDefault="00577F54">
      <w:pPr>
        <w:spacing w:after="120"/>
      </w:pPr>
    </w:p>
    <w:p w14:paraId="2C9D23EF" w14:textId="77777777" w:rsidR="00577F54" w:rsidRDefault="00000000">
      <w:pPr>
        <w:spacing w:after="120"/>
      </w:pPr>
      <w:r>
        <w:rPr>
          <w:rFonts w:eastAsia="Times New Roman"/>
        </w:rPr>
        <w:t>Christopher J. Kirkpatrick</w:t>
      </w:r>
    </w:p>
    <w:p w14:paraId="23784544" w14:textId="77777777" w:rsidR="00577F54" w:rsidRDefault="00000000">
      <w:pPr>
        <w:spacing w:after="120"/>
      </w:pPr>
      <w:r>
        <w:rPr>
          <w:rFonts w:eastAsia="Times New Roman"/>
        </w:rPr>
        <w:t>Secretary of the Commission</w:t>
      </w:r>
    </w:p>
    <w:p w14:paraId="58061971" w14:textId="77777777" w:rsidR="00577F54" w:rsidRDefault="00000000">
      <w:pPr>
        <w:spacing w:after="120"/>
      </w:pPr>
      <w:r>
        <w:rPr>
          <w:rFonts w:eastAsia="Times New Roman"/>
        </w:rPr>
        <w:t>Commodity Futures Trading Commission</w:t>
      </w:r>
    </w:p>
    <w:p w14:paraId="7D0AF8C9" w14:textId="77777777" w:rsidR="00577F54" w:rsidRDefault="00000000">
      <w:pPr>
        <w:spacing w:after="120"/>
      </w:pPr>
      <w:r>
        <w:rPr>
          <w:rFonts w:eastAsia="Times New Roman"/>
        </w:rPr>
        <w:t>Three Lafayette Centre</w:t>
      </w:r>
    </w:p>
    <w:p w14:paraId="28F73713" w14:textId="77777777" w:rsidR="00577F54" w:rsidRDefault="00000000">
      <w:pPr>
        <w:spacing w:after="120"/>
      </w:pPr>
      <w:r>
        <w:rPr>
          <w:rFonts w:eastAsia="Times New Roman"/>
        </w:rPr>
        <w:t>1155 21st Street, NW</w:t>
      </w:r>
    </w:p>
    <w:p w14:paraId="2F0897B7" w14:textId="77777777" w:rsidR="00577F54" w:rsidRDefault="00000000">
      <w:pPr>
        <w:spacing w:after="240"/>
      </w:pPr>
      <w:r>
        <w:rPr>
          <w:rFonts w:eastAsia="Times New Roman"/>
        </w:rPr>
        <w:t>Washington, DC 20581</w:t>
      </w:r>
    </w:p>
    <w:p w14:paraId="77B109B7" w14:textId="77777777" w:rsidR="00577F54" w:rsidRDefault="00000000">
      <w:pPr>
        <w:spacing w:after="240"/>
      </w:pPr>
      <w:r>
        <w:rPr>
          <w:rFonts w:eastAsia="Times New Roman"/>
          <w:b/>
          <w:bCs/>
        </w:rPr>
        <w:t xml:space="preserve">Re: </w:t>
      </w:r>
      <w:r>
        <w:rPr>
          <w:rFonts w:eastAsia="Times New Roman"/>
        </w:rPr>
        <w:t>Advance Notice of Proposed Rulemaking — Prediction Markets (RIN 3038-AF65)</w:t>
      </w:r>
    </w:p>
    <w:p w14:paraId="5DCEA132" w14:textId="77777777" w:rsidR="00577F54" w:rsidRDefault="00000000">
      <w:pPr>
        <w:spacing w:after="240"/>
      </w:pPr>
      <w:r>
        <w:rPr>
          <w:rFonts w:eastAsia="Times New Roman"/>
        </w:rPr>
        <w:t>Dear Secretary Kirkpatrick:</w:t>
      </w:r>
    </w:p>
    <w:p w14:paraId="5B0AF4C5" w14:textId="77777777" w:rsidR="00577F54" w:rsidRDefault="00000000">
      <w:pPr>
        <w:pStyle w:val="Heading1"/>
        <w:spacing w:before="360" w:after="200"/>
      </w:pPr>
      <w:r>
        <w:rPr>
          <w:rFonts w:eastAsia="Times New Roman"/>
          <w:b/>
          <w:bCs/>
          <w:sz w:val="28"/>
          <w:szCs w:val="28"/>
        </w:rPr>
        <w:t>I. Introduction and Summary</w:t>
      </w:r>
    </w:p>
    <w:p w14:paraId="4E5D2233" w14:textId="77777777" w:rsidR="00577F54" w:rsidRDefault="00000000">
      <w:pPr>
        <w:spacing w:after="200" w:line="276" w:lineRule="auto"/>
      </w:pPr>
      <w:r>
        <w:rPr>
          <w:rFonts w:eastAsia="Times New Roman"/>
        </w:rPr>
        <w:t>I respectfully submit this comment in response to the Commission's Advance Notice of Proposed Rulemaking concerning event contract derivatives traded on prediction markets. This comment draws on original empirical research that I believe is directly relevant to several of the Commission's inquiries, particularly those concerning the economic nature of event contract prices, their susceptibility to systematic distortion, and the appropriate regulatory treatment of these instruments.</w:t>
      </w:r>
    </w:p>
    <w:p w14:paraId="65F5E94C" w14:textId="77777777" w:rsidR="00577F54" w:rsidRDefault="00000000">
      <w:pPr>
        <w:spacing w:after="200" w:line="276" w:lineRule="auto"/>
      </w:pPr>
      <w:r>
        <w:rPr>
          <w:rFonts w:eastAsia="Times New Roman"/>
        </w:rPr>
        <w:t xml:space="preserve">I am an undergraduate researcher at the University of Illinois at Urbana-Champaign, triple-majoring in Computer Science, Economics, and Statistics. The findings presented in this comment are drawn from my solo-authored research paper, "Pricing Prediction Markets: Risk Premiums, Incomplete Markets, and a Decomposition Framework," which analyzes 291,309 resolved event contracts across six platforms: </w:t>
      </w:r>
      <w:proofErr w:type="spellStart"/>
      <w:r>
        <w:rPr>
          <w:rFonts w:eastAsia="Times New Roman"/>
        </w:rPr>
        <w:t>Polymarket</w:t>
      </w:r>
      <w:proofErr w:type="spellEnd"/>
      <w:r>
        <w:rPr>
          <w:rFonts w:eastAsia="Times New Roman"/>
        </w:rPr>
        <w:t xml:space="preserve">, Kalshi (a CFTC-registered Designated Contract Market), </w:t>
      </w:r>
      <w:proofErr w:type="spellStart"/>
      <w:r>
        <w:rPr>
          <w:rFonts w:eastAsia="Times New Roman"/>
        </w:rPr>
        <w:t>Metaculus</w:t>
      </w:r>
      <w:proofErr w:type="spellEnd"/>
      <w:r>
        <w:rPr>
          <w:rFonts w:eastAsia="Times New Roman"/>
        </w:rPr>
        <w:t>, Good Judgment Open, INFER, and Manifold.</w:t>
      </w:r>
    </w:p>
    <w:p w14:paraId="26040298" w14:textId="77777777" w:rsidR="00577F54" w:rsidRDefault="00000000">
      <w:pPr>
        <w:spacing w:after="200" w:line="276" w:lineRule="auto"/>
      </w:pPr>
      <w:r>
        <w:rPr>
          <w:rFonts w:eastAsia="Times New Roman"/>
        </w:rPr>
        <w:t>The central empirical finding of this research is that event contract prices on real-money platforms are not pure objective probabilities. Instead, they embed a systematic, statistically significant, and economically meaningful pricing wedge attributable to risk compensation in structurally incomplete markets. This finding has direct implications for the Commission's regulatory framework.</w:t>
      </w:r>
    </w:p>
    <w:p w14:paraId="02E44FF9" w14:textId="77777777" w:rsidR="00577F54" w:rsidRDefault="00000000">
      <w:pPr>
        <w:pStyle w:val="Heading1"/>
        <w:spacing w:before="360" w:after="200"/>
      </w:pPr>
      <w:r>
        <w:rPr>
          <w:rFonts w:eastAsia="Times New Roman"/>
          <w:b/>
          <w:bCs/>
          <w:sz w:val="28"/>
          <w:szCs w:val="28"/>
        </w:rPr>
        <w:t>II. Event Contracts Are Financial Derivatives, Not Polling Instruments</w:t>
      </w:r>
    </w:p>
    <w:p w14:paraId="0BDCB344" w14:textId="77777777" w:rsidR="00577F54" w:rsidRDefault="00000000">
      <w:pPr>
        <w:spacing w:after="200" w:line="276" w:lineRule="auto"/>
      </w:pPr>
      <w:r>
        <w:rPr>
          <w:rFonts w:eastAsia="Times New Roman"/>
        </w:rPr>
        <w:lastRenderedPageBreak/>
        <w:t>The Commission's ANPRM correctly recognizes that event contracts traded on DCMs are swaps or futures contracts subject to CFTC jurisdiction. My research provides rigorous empirical support for this classification by demonstrating that event contract prices behave like derivative prices — not like probability estimates from surveys or polls.</w:t>
      </w:r>
    </w:p>
    <w:p w14:paraId="2CD5E6D6" w14:textId="77777777" w:rsidR="00577F54" w:rsidRDefault="00000000">
      <w:pPr>
        <w:spacing w:after="200" w:line="276" w:lineRule="auto"/>
      </w:pPr>
      <w:r>
        <w:rPr>
          <w:rFonts w:eastAsia="Times New Roman"/>
        </w:rPr>
        <w:t>An event contract pays a fixed amount (typically $1) if a specified event occurs and zero otherwise. This payoff structure is economically identical to a cash-or-nothing binary option. However, unlike standard exchange-traded options written on tradable underlying assets (e.g., equity options), event contracts reference outcomes — such as election results, economic indicators, or geopolitical developments — that cannot be dynamically replicated through continuous trading in an underlying asset. The market for event contracts is therefore structurally incomplete in the sense of Harrison and Kreps (1979): no-arbitrage arguments do not pin down a unique price, and the risk-neutral probability measure is not uniquely identified.</w:t>
      </w:r>
    </w:p>
    <w:p w14:paraId="250573E1" w14:textId="77777777" w:rsidR="00577F54" w:rsidRDefault="00000000">
      <w:pPr>
        <w:spacing w:after="200" w:line="276" w:lineRule="auto"/>
      </w:pPr>
      <w:r>
        <w:rPr>
          <w:rFonts w:eastAsia="Times New Roman"/>
        </w:rPr>
        <w:t>In complete markets, the law of one price ensures that derivative prices reflect objective probabilities adjusted by a unique risk-neutral measure. In incomplete markets, this uniqueness breaks down. Multiple risk-neutral measures are consistent with the absence of arbitrage, and the observed market price necessarily reflects the specific risk preferences of marginal participants. This is not a market failure — it is a structural feature of any market for non-replicable contingent claims, including catastrophe bonds, weather derivatives, and longevity-linked securities.</w:t>
      </w:r>
    </w:p>
    <w:p w14:paraId="5D3B48A7" w14:textId="77777777" w:rsidR="00577F54" w:rsidRDefault="00000000">
      <w:pPr>
        <w:pStyle w:val="Heading1"/>
        <w:spacing w:before="360" w:after="200"/>
      </w:pPr>
      <w:r>
        <w:rPr>
          <w:rFonts w:eastAsia="Times New Roman"/>
          <w:b/>
          <w:bCs/>
          <w:sz w:val="28"/>
          <w:szCs w:val="28"/>
        </w:rPr>
        <w:t>III. Empirical Evidence: The Pricing Wedge</w:t>
      </w:r>
    </w:p>
    <w:p w14:paraId="465F22EB" w14:textId="77777777" w:rsidR="00577F54" w:rsidRDefault="00000000">
      <w:pPr>
        <w:spacing w:after="200" w:line="276" w:lineRule="auto"/>
      </w:pPr>
      <w:r>
        <w:rPr>
          <w:rFonts w:eastAsia="Times New Roman"/>
        </w:rPr>
        <w:t>To quantify the deviation of event contract prices from objective probabilities, I apply the Wang (2000) probability distortion transform — a one-parameter pricing operator widely used in actuarial science and insurance-linked securities markets. The model specifies:</w:t>
      </w:r>
    </w:p>
    <w:p w14:paraId="4ACB7759" w14:textId="77777777" w:rsidR="00577F54" w:rsidRDefault="00000000">
      <w:pPr>
        <w:spacing w:before="200" w:after="200"/>
        <w:jc w:val="center"/>
      </w:pPr>
      <w:r>
        <w:rPr>
          <w:rFonts w:eastAsia="Times New Roman"/>
          <w:i/>
          <w:iCs/>
        </w:rPr>
        <w:t>p(mkt) = Φ(Φ⁻¹(p*) + λ)</w:t>
      </w:r>
    </w:p>
    <w:p w14:paraId="7AAE7356" w14:textId="77777777" w:rsidR="00577F54" w:rsidRDefault="00000000">
      <w:pPr>
        <w:spacing w:after="200" w:line="276" w:lineRule="auto"/>
      </w:pPr>
      <w:r>
        <w:rPr>
          <w:rFonts w:eastAsia="Times New Roman"/>
        </w:rPr>
        <w:t xml:space="preserve">where </w:t>
      </w:r>
      <w:proofErr w:type="spellStart"/>
      <w:r>
        <w:rPr>
          <w:rFonts w:eastAsia="Times New Roman"/>
          <w:i/>
          <w:iCs/>
        </w:rPr>
        <w:t>p</w:t>
      </w:r>
      <w:r>
        <w:rPr>
          <w:rFonts w:eastAsia="Times New Roman"/>
          <w:vertAlign w:val="superscript"/>
        </w:rPr>
        <w:t>mkt</w:t>
      </w:r>
      <w:proofErr w:type="spellEnd"/>
      <w:r>
        <w:rPr>
          <w:rFonts w:eastAsia="Times New Roman"/>
        </w:rPr>
        <w:t xml:space="preserve"> is the observed market price, </w:t>
      </w:r>
      <w:r>
        <w:rPr>
          <w:rFonts w:eastAsia="Times New Roman"/>
          <w:i/>
          <w:iCs/>
        </w:rPr>
        <w:t>p</w:t>
      </w:r>
      <w:r>
        <w:rPr>
          <w:rFonts w:eastAsia="Times New Roman"/>
        </w:rPr>
        <w:t>* is the physical (objective) probability inferred from contract resolution, Φ denotes the standard normal CDF, and λ is the pricing wedge parameter. When λ &gt; 0, market prices systematically overstate the probability of low-probability events and understate the probability of high-probability events — the well-documented favorite-longshot bias (FLB).</w:t>
      </w:r>
    </w:p>
    <w:p w14:paraId="118B9A90" w14:textId="77777777" w:rsidR="00577F54" w:rsidRDefault="00000000">
      <w:pPr>
        <w:spacing w:after="200" w:line="276" w:lineRule="auto"/>
      </w:pPr>
      <w:r>
        <w:rPr>
          <w:rFonts w:eastAsia="Times New Roman"/>
        </w:rPr>
        <w:t>Calibrating this model via maximum likelihood estimation on 291,309 resolved contracts, I obtain the following key results:</w:t>
      </w:r>
    </w:p>
    <w:p w14:paraId="33B54494" w14:textId="77777777" w:rsidR="00577F54" w:rsidRDefault="00000000">
      <w:pPr>
        <w:spacing w:after="200" w:line="276" w:lineRule="auto"/>
      </w:pPr>
      <w:r>
        <w:rPr>
          <w:rFonts w:eastAsia="Times New Roman"/>
          <w:b/>
          <w:bCs/>
        </w:rPr>
        <w:t xml:space="preserve">1. Systematic positive pricing wedge on real-money platforms. </w:t>
      </w:r>
      <w:r>
        <w:rPr>
          <w:rFonts w:eastAsia="Times New Roman"/>
        </w:rPr>
        <w:t xml:space="preserve">The pooled estimate across all real-money platforms is λ̂ = 0.183 (p &lt; 10⁻¹⁵). This means that, on average, market prices for event contracts on </w:t>
      </w:r>
      <w:proofErr w:type="spellStart"/>
      <w:r>
        <w:rPr>
          <w:rFonts w:eastAsia="Times New Roman"/>
        </w:rPr>
        <w:t>Polymarket</w:t>
      </w:r>
      <w:proofErr w:type="spellEnd"/>
      <w:r>
        <w:rPr>
          <w:rFonts w:eastAsia="Times New Roman"/>
        </w:rPr>
        <w:t>, Kalshi, and other real-money venues are systematically distorted away from objective probabilities in a direction consistent with risk compensation.</w:t>
      </w:r>
    </w:p>
    <w:p w14:paraId="4C14B96E" w14:textId="77777777" w:rsidR="00577F54" w:rsidRDefault="00000000">
      <w:pPr>
        <w:spacing w:after="200" w:line="276" w:lineRule="auto"/>
      </w:pPr>
      <w:r>
        <w:rPr>
          <w:rFonts w:eastAsia="Times New Roman"/>
          <w:b/>
          <w:bCs/>
        </w:rPr>
        <w:lastRenderedPageBreak/>
        <w:t xml:space="preserve">2. Sign reversal on play-money platforms. </w:t>
      </w:r>
      <w:r>
        <w:rPr>
          <w:rFonts w:eastAsia="Times New Roman"/>
        </w:rPr>
        <w:t xml:space="preserve">On Manifold, a play-money forecasting platform where participants bear no financial risk, the estimated pricing wedge reverses sign (λ̂ &lt; 0). This finding is critical: if the pricing wedge were driven solely by cognitive biases in probability perception (as proposed by Kahneman and Tversky's prospect theory), we would expect the distortion to persist regardless of financial stakes. The sign reversal strongly suggests that a significant component of the real-money pricing wedge reflects rational compensation for bearing </w:t>
      </w:r>
      <w:proofErr w:type="spellStart"/>
      <w:r>
        <w:rPr>
          <w:rFonts w:eastAsia="Times New Roman"/>
        </w:rPr>
        <w:t>unhedgeable</w:t>
      </w:r>
      <w:proofErr w:type="spellEnd"/>
      <w:r>
        <w:rPr>
          <w:rFonts w:eastAsia="Times New Roman"/>
        </w:rPr>
        <w:t xml:space="preserve"> event risk, not cognitive error.</w:t>
      </w:r>
    </w:p>
    <w:p w14:paraId="521A9EBB" w14:textId="77777777" w:rsidR="00577F54" w:rsidRDefault="00000000">
      <w:pPr>
        <w:spacing w:after="200" w:line="276" w:lineRule="auto"/>
      </w:pPr>
      <w:r>
        <w:rPr>
          <w:rFonts w:eastAsia="Times New Roman"/>
          <w:b/>
          <w:bCs/>
        </w:rPr>
        <w:t xml:space="preserve">3. Time-varying decay. </w:t>
      </w:r>
      <w:r>
        <w:rPr>
          <w:rFonts w:eastAsia="Times New Roman"/>
        </w:rPr>
        <w:t>The pricing wedge is not constant over the contract lifecycle. Using a stacked panel spline model, I find that the wedge is largest near market opening and decays monotonically toward zero as the event resolution date approaches, with an empirical half-life of 33–77% of contract duration. This pattern is consistent with the resolution of uncertainty over time — as information arrives and residual uncertainty diminishes, the risk premium required by market participants decreases accordingly.</w:t>
      </w:r>
    </w:p>
    <w:p w14:paraId="624849BE" w14:textId="77777777" w:rsidR="00577F54" w:rsidRDefault="00000000">
      <w:pPr>
        <w:spacing w:after="200" w:line="276" w:lineRule="auto"/>
      </w:pPr>
      <w:r>
        <w:rPr>
          <w:rFonts w:eastAsia="Times New Roman"/>
          <w:b/>
          <w:bCs/>
        </w:rPr>
        <w:t xml:space="preserve">4. Model comparison. </w:t>
      </w:r>
      <w:r>
        <w:rPr>
          <w:rFonts w:eastAsia="Times New Roman"/>
        </w:rPr>
        <w:t>The Wang transform provides a statistically superior fit (ΔAIC = 14.9) compared to the Kahneman-Tversky probability weighting function, supporting the interpretation that aggregate market-level pricing distortions are better explained by risk-aversion-based models than by behavioral probability weighting.</w:t>
      </w:r>
    </w:p>
    <w:p w14:paraId="0A41E7C0" w14:textId="77777777" w:rsidR="00577F54" w:rsidRDefault="00000000">
      <w:pPr>
        <w:pStyle w:val="Heading1"/>
        <w:spacing w:before="360" w:after="200"/>
      </w:pPr>
      <w:r>
        <w:rPr>
          <w:rFonts w:eastAsia="Times New Roman"/>
          <w:b/>
          <w:bCs/>
          <w:sz w:val="28"/>
          <w:szCs w:val="28"/>
        </w:rPr>
        <w:t>IV. Implications for the Commission's Inquiries</w:t>
      </w:r>
    </w:p>
    <w:p w14:paraId="1D646F8B" w14:textId="77777777" w:rsidR="00577F54" w:rsidRDefault="00000000">
      <w:pPr>
        <w:spacing w:before="240" w:after="160"/>
      </w:pPr>
      <w:r>
        <w:rPr>
          <w:rFonts w:eastAsia="Times New Roman"/>
          <w:b/>
          <w:bCs/>
          <w:sz w:val="25"/>
          <w:szCs w:val="25"/>
        </w:rPr>
        <w:t>A. Core Principle 3: Contracts Not Readily Susceptible to Manipulation</w:t>
      </w:r>
    </w:p>
    <w:p w14:paraId="3117E337" w14:textId="77777777" w:rsidR="00577F54" w:rsidRDefault="00000000">
      <w:pPr>
        <w:spacing w:after="200" w:line="276" w:lineRule="auto"/>
      </w:pPr>
      <w:r>
        <w:rPr>
          <w:rFonts w:eastAsia="Times New Roman"/>
        </w:rPr>
        <w:t>The Commission asks whether existing DCM Core Principles adequately address manipulation risks in prediction markets. My findings suggest that a portion of what might appear to be price manipulation or inefficiency in event contract markets is in fact a structural consequence of incomplete-market pricing. The systematic overpricing of low-probability events (the FLB) is not evidence of market manipulation — it is an expected equilibrium outcome when risk-averse participants trade non-replicable binary claims.</w:t>
      </w:r>
    </w:p>
    <w:p w14:paraId="7C7485E6" w14:textId="77777777" w:rsidR="00577F54" w:rsidRDefault="00000000">
      <w:pPr>
        <w:spacing w:after="200" w:line="276" w:lineRule="auto"/>
      </w:pPr>
      <w:r>
        <w:rPr>
          <w:rFonts w:eastAsia="Times New Roman"/>
        </w:rPr>
        <w:t>This distinction has practical regulatory significance. Surveillance systems designed to detect manipulation in prediction markets should be calibrated to account for the baseline pricing wedge documented in this research. A contract trading at 15 cents when the objective probability is 10% is not necessarily evidence of manipulation; it may simply reflect the equilibrium risk premium. Failing to account for this structural distortion could lead to false positives in manipulation surveillance.</w:t>
      </w:r>
    </w:p>
    <w:p w14:paraId="1D41CF5A" w14:textId="77777777" w:rsidR="00577F54" w:rsidRDefault="00000000">
      <w:pPr>
        <w:spacing w:before="240" w:after="160"/>
      </w:pPr>
      <w:r>
        <w:rPr>
          <w:rFonts w:eastAsia="Times New Roman"/>
          <w:b/>
          <w:bCs/>
          <w:sz w:val="25"/>
          <w:szCs w:val="25"/>
        </w:rPr>
        <w:t>B. Price Discovery and Public Interest</w:t>
      </w:r>
    </w:p>
    <w:p w14:paraId="00BC80D9" w14:textId="77777777" w:rsidR="00577F54" w:rsidRDefault="00000000">
      <w:pPr>
        <w:spacing w:after="200" w:line="276" w:lineRule="auto"/>
      </w:pPr>
      <w:r>
        <w:rPr>
          <w:rFonts w:eastAsia="Times New Roman"/>
        </w:rPr>
        <w:t xml:space="preserve">The ANPRM asks whether event contracts serve legitimate economic functions including price discovery. My research provides a nuanced answer: event contract prices do contain genuine information about event probabilities, but they are not unbiased estimators of those probabilities. </w:t>
      </w:r>
      <w:r>
        <w:rPr>
          <w:rFonts w:eastAsia="Times New Roman"/>
        </w:rPr>
        <w:lastRenderedPageBreak/>
        <w:t>The pricing wedge means that raw market prices systematically overstate the probability of unlikely events.</w:t>
      </w:r>
    </w:p>
    <w:p w14:paraId="5AA7AD71" w14:textId="77777777" w:rsidR="00577F54" w:rsidRDefault="00000000">
      <w:pPr>
        <w:spacing w:after="200" w:line="276" w:lineRule="auto"/>
      </w:pPr>
      <w:r>
        <w:rPr>
          <w:rFonts w:eastAsia="Times New Roman"/>
        </w:rPr>
        <w:t>This finding is directly relevant to the growing practice of media organizations, financial institutions, and government agencies citing prediction market prices as probability forecasts. If regulators, market participants, and the public treat a Kalshi contract trading at 15 cents as indicating a 15% probability of the underlying event, they are systematically misled. The true implied probability, after adjusting for the risk premium, may be closer to 10%. The Commission should consider whether DCMs listing event contracts should be required to disclose that market prices embed risk premiums and are not pure probability estimates.</w:t>
      </w:r>
    </w:p>
    <w:p w14:paraId="6DB5B31F" w14:textId="77777777" w:rsidR="00577F54" w:rsidRDefault="00000000">
      <w:pPr>
        <w:spacing w:before="240" w:after="160"/>
      </w:pPr>
      <w:r>
        <w:rPr>
          <w:rFonts w:eastAsia="Times New Roman"/>
          <w:b/>
          <w:bCs/>
          <w:sz w:val="25"/>
          <w:szCs w:val="25"/>
        </w:rPr>
        <w:t>C. Insider Trading and Nonpublic Information</w:t>
      </w:r>
    </w:p>
    <w:p w14:paraId="6EA5A737" w14:textId="77777777" w:rsidR="00577F54" w:rsidRDefault="00000000">
      <w:pPr>
        <w:spacing w:after="200" w:line="276" w:lineRule="auto"/>
      </w:pPr>
      <w:r>
        <w:rPr>
          <w:rFonts w:eastAsia="Times New Roman"/>
        </w:rPr>
        <w:t>The Commission's Enforcement Division has already brought actions involving misuse of nonpublic information in prediction markets. My research contributes to this area by demonstrating that the magnitude of the pricing wedge varies across contract categories and market conditions. Contracts in categories with greater information asymmetry (e.g., longer-duration contracts, lower-liquidity markets) exhibit larger pricing wedges. This cross-sectional variation could inform the Commission's prioritization of surveillance resources: markets with unusually large or volatile pricing wedges may warrant closer scrutiny for potential insider trading.</w:t>
      </w:r>
    </w:p>
    <w:p w14:paraId="640CEC07" w14:textId="77777777" w:rsidR="00577F54" w:rsidRDefault="00000000">
      <w:pPr>
        <w:spacing w:before="240" w:after="160"/>
      </w:pPr>
      <w:r>
        <w:rPr>
          <w:rFonts w:eastAsia="Times New Roman"/>
          <w:b/>
          <w:bCs/>
          <w:sz w:val="25"/>
          <w:szCs w:val="25"/>
        </w:rPr>
        <w:t>D. Cost-Benefit Considerations</w:t>
      </w:r>
    </w:p>
    <w:p w14:paraId="5EC7BCE8" w14:textId="77777777" w:rsidR="00577F54" w:rsidRDefault="00000000">
      <w:pPr>
        <w:spacing w:after="200" w:line="276" w:lineRule="auto"/>
      </w:pPr>
      <w:r>
        <w:rPr>
          <w:rFonts w:eastAsia="Times New Roman"/>
        </w:rPr>
        <w:t>The Commission requests data on the costs and benefits of potential regulatory changes. The dataset assembled for this research — 291,309 resolved contracts across six platforms spanning 2015–2026 — is among the largest cross-platform prediction market datasets in the academic literature. I would be pleased to make the methodology and summary statistics available to Commission staff to support cost-benefit analyses of proposed regulations.</w:t>
      </w:r>
    </w:p>
    <w:p w14:paraId="2FA6ED7E" w14:textId="77777777" w:rsidR="00577F54" w:rsidRDefault="00000000">
      <w:pPr>
        <w:spacing w:after="200" w:line="276" w:lineRule="auto"/>
      </w:pPr>
      <w:r>
        <w:rPr>
          <w:rFonts w:eastAsia="Times New Roman"/>
        </w:rPr>
        <w:t>One specific cost-benefit consideration: the pricing wedge is smaller in higher-volume, more liquid markets. This suggests that regulatory measures promoting market liquidity (e.g., reducing barriers to market-making, facilitating cross-platform clearing) would reduce the magnitude of pricing distortions and bring event contract prices closer to objective probabilities, thereby enhancing the informational value of these markets.</w:t>
      </w:r>
    </w:p>
    <w:p w14:paraId="31F1D31D" w14:textId="77777777" w:rsidR="00577F54" w:rsidRDefault="00000000">
      <w:pPr>
        <w:pStyle w:val="Heading1"/>
        <w:spacing w:before="360" w:after="200"/>
      </w:pPr>
      <w:r>
        <w:rPr>
          <w:rFonts w:eastAsia="Times New Roman"/>
          <w:b/>
          <w:bCs/>
          <w:sz w:val="28"/>
          <w:szCs w:val="28"/>
        </w:rPr>
        <w:t>V. Recommendations</w:t>
      </w:r>
    </w:p>
    <w:p w14:paraId="253CDF4C" w14:textId="77777777" w:rsidR="00577F54" w:rsidRDefault="00000000">
      <w:pPr>
        <w:spacing w:after="200" w:line="276" w:lineRule="auto"/>
      </w:pPr>
      <w:r>
        <w:rPr>
          <w:rFonts w:eastAsia="Times New Roman"/>
        </w:rPr>
        <w:t>Based on the empirical evidence presented above, I respectfully offer the following recommendations for the Commission's consideration:</w:t>
      </w:r>
    </w:p>
    <w:p w14:paraId="2B4F1F55" w14:textId="77777777" w:rsidR="00577F54" w:rsidRDefault="00000000">
      <w:pPr>
        <w:spacing w:after="200" w:line="276" w:lineRule="auto"/>
      </w:pPr>
      <w:r>
        <w:rPr>
          <w:rFonts w:eastAsia="Times New Roman"/>
          <w:b/>
          <w:bCs/>
        </w:rPr>
        <w:lastRenderedPageBreak/>
        <w:t xml:space="preserve">1. </w:t>
      </w:r>
      <w:r>
        <w:rPr>
          <w:rFonts w:eastAsia="Times New Roman"/>
        </w:rPr>
        <w:t>The Commission should recognize that event contract prices on CFTC-regulated DCMs are risk-adjusted derivative prices, not pure probability forecasts. Regulatory frameworks, capital requirements, and public communications should reflect this distinction.</w:t>
      </w:r>
    </w:p>
    <w:p w14:paraId="1571C69D" w14:textId="77777777" w:rsidR="00577F54" w:rsidRDefault="00000000">
      <w:pPr>
        <w:spacing w:after="200" w:line="276" w:lineRule="auto"/>
      </w:pPr>
      <w:r>
        <w:rPr>
          <w:rFonts w:eastAsia="Times New Roman"/>
          <w:b/>
          <w:bCs/>
        </w:rPr>
        <w:t xml:space="preserve">2. </w:t>
      </w:r>
      <w:r>
        <w:rPr>
          <w:rFonts w:eastAsia="Times New Roman"/>
        </w:rPr>
        <w:t>DCMs listing event contracts should consider disclosing to market participants that prices embed systematic risk premiums and may not be interpreted as unbiased probability estimates. This disclosure would be consistent with existing requirements for other derivative products where the relationship between traded prices and underlying economic quantities is not self-evident.</w:t>
      </w:r>
    </w:p>
    <w:p w14:paraId="48DD3A7E" w14:textId="77777777" w:rsidR="00577F54" w:rsidRDefault="00000000">
      <w:pPr>
        <w:spacing w:after="200" w:line="276" w:lineRule="auto"/>
      </w:pPr>
      <w:r>
        <w:rPr>
          <w:rFonts w:eastAsia="Times New Roman"/>
          <w:b/>
          <w:bCs/>
        </w:rPr>
        <w:t xml:space="preserve">3. </w:t>
      </w:r>
      <w:r>
        <w:rPr>
          <w:rFonts w:eastAsia="Times New Roman"/>
        </w:rPr>
        <w:t>Manipulation surveillance systems for event contracts should be calibrated to account for the structural pricing wedge. The baseline model documented in this research (Wang transform with λ ≈ 0.18) provides a quantitative benchmark against which anomalous price behavior can be evaluated.</w:t>
      </w:r>
    </w:p>
    <w:p w14:paraId="6A19DC39" w14:textId="77777777" w:rsidR="00577F54" w:rsidRDefault="00000000">
      <w:pPr>
        <w:spacing w:after="200" w:line="276" w:lineRule="auto"/>
      </w:pPr>
      <w:r>
        <w:rPr>
          <w:rFonts w:eastAsia="Times New Roman"/>
          <w:b/>
          <w:bCs/>
        </w:rPr>
        <w:t xml:space="preserve">4. </w:t>
      </w:r>
      <w:r>
        <w:rPr>
          <w:rFonts w:eastAsia="Times New Roman"/>
        </w:rPr>
        <w:t>The Commission should encourage academic research on event contract pricing by facilitating data access. The rapid growth of prediction markets — from approximately five new contracts per year before 2020 to roughly 1,600 in 2025 — creates an urgent need for rigorous empirical analysis of market quality, pricing efficiency, and systemic risk.</w:t>
      </w:r>
    </w:p>
    <w:p w14:paraId="7D22587C" w14:textId="77777777" w:rsidR="00577F54" w:rsidRDefault="00000000">
      <w:pPr>
        <w:pStyle w:val="Heading1"/>
        <w:spacing w:before="360" w:after="200"/>
      </w:pPr>
      <w:r>
        <w:rPr>
          <w:rFonts w:eastAsia="Times New Roman"/>
          <w:b/>
          <w:bCs/>
          <w:sz w:val="28"/>
          <w:szCs w:val="28"/>
        </w:rPr>
        <w:t>VI. Conclusion</w:t>
      </w:r>
    </w:p>
    <w:p w14:paraId="29A98ED3" w14:textId="77777777" w:rsidR="00577F54" w:rsidRDefault="00000000">
      <w:pPr>
        <w:spacing w:after="200" w:line="276" w:lineRule="auto"/>
      </w:pPr>
      <w:r>
        <w:rPr>
          <w:rFonts w:eastAsia="Times New Roman"/>
        </w:rPr>
        <w:t>Event contracts traded on prediction markets are financial derivatives that embed measurable risk premiums arising from the structural incompleteness of event risk markets. The empirical evidence from 291,309 contracts across six platforms demonstrates that these prices cannot be interpreted as pure objective probabilities. This finding has direct implications for the Commission's regulatory framework, manipulation surveillance, and public interest determinations.</w:t>
      </w:r>
    </w:p>
    <w:p w14:paraId="68D8FF34" w14:textId="77777777" w:rsidR="00577F54" w:rsidRDefault="00000000">
      <w:pPr>
        <w:spacing w:after="200" w:line="276" w:lineRule="auto"/>
      </w:pPr>
      <w:r>
        <w:rPr>
          <w:rFonts w:eastAsia="Times New Roman"/>
        </w:rPr>
        <w:t>I appreciate the opportunity to submit this comment and would welcome the opportunity to provide additional information or technical detail to Commission staff. The full research paper, including methodology, data sources, and robustness checks, is available on SSRN (Abstract ID 6468338).</w:t>
      </w:r>
    </w:p>
    <w:p w14:paraId="67C363D3" w14:textId="77777777" w:rsidR="00577F54" w:rsidRDefault="00577F54">
      <w:pPr>
        <w:spacing w:after="360"/>
      </w:pPr>
    </w:p>
    <w:p w14:paraId="4DD9921C" w14:textId="77777777" w:rsidR="00577F54" w:rsidRDefault="00000000">
      <w:pPr>
        <w:spacing w:after="120"/>
      </w:pPr>
      <w:r>
        <w:rPr>
          <w:rFonts w:eastAsia="Times New Roman"/>
        </w:rPr>
        <w:t>Respectfully submitted,</w:t>
      </w:r>
    </w:p>
    <w:p w14:paraId="2EC70AB3" w14:textId="77777777" w:rsidR="00577F54" w:rsidRDefault="00577F54">
      <w:pPr>
        <w:spacing w:after="240"/>
      </w:pPr>
    </w:p>
    <w:p w14:paraId="24F2364B" w14:textId="77777777" w:rsidR="00577F54" w:rsidRDefault="00000000">
      <w:pPr>
        <w:spacing w:after="120"/>
      </w:pPr>
      <w:r>
        <w:rPr>
          <w:rFonts w:eastAsia="Times New Roman"/>
          <w:b/>
          <w:bCs/>
        </w:rPr>
        <w:t>Yicheng Yang (Ethan)</w:t>
      </w:r>
    </w:p>
    <w:p w14:paraId="7B1996BC" w14:textId="77777777" w:rsidR="00577F54" w:rsidRDefault="00000000">
      <w:pPr>
        <w:spacing w:after="120"/>
      </w:pPr>
      <w:r>
        <w:rPr>
          <w:rFonts w:eastAsia="Times New Roman"/>
        </w:rPr>
        <w:t>University of Illinois at Urbana-Champaign</w:t>
      </w:r>
    </w:p>
    <w:p w14:paraId="1FB8B30B" w14:textId="703B7041" w:rsidR="00577F54" w:rsidRDefault="00000000">
      <w:pPr>
        <w:spacing w:after="120"/>
      </w:pPr>
      <w:r>
        <w:rPr>
          <w:rFonts w:eastAsia="Times New Roman"/>
        </w:rPr>
        <w:t xml:space="preserve">B.S. Computer Science, Economics, and Statistics </w:t>
      </w:r>
    </w:p>
    <w:p w14:paraId="0BB97382" w14:textId="77777777" w:rsidR="00577F54" w:rsidRDefault="00000000">
      <w:pPr>
        <w:spacing w:after="120"/>
      </w:pPr>
      <w:r>
        <w:rPr>
          <w:rFonts w:eastAsia="Times New Roman"/>
        </w:rPr>
        <w:lastRenderedPageBreak/>
        <w:t>Email: yy85@illinois.edu</w:t>
      </w:r>
    </w:p>
    <w:p w14:paraId="6490F2C7" w14:textId="77777777" w:rsidR="00577F54" w:rsidRDefault="00000000">
      <w:pPr>
        <w:spacing w:after="120"/>
      </w:pPr>
      <w:r>
        <w:rPr>
          <w:rFonts w:eastAsia="Times New Roman"/>
        </w:rPr>
        <w:t>SSRN: https://papers.ssrn.com/abstract=6468338</w:t>
      </w:r>
    </w:p>
    <w:sectPr w:rsidR="00577F54">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F3C8" w14:textId="77777777" w:rsidR="00405762" w:rsidRDefault="00405762">
      <w:r>
        <w:separator/>
      </w:r>
    </w:p>
  </w:endnote>
  <w:endnote w:type="continuationSeparator" w:id="0">
    <w:p w14:paraId="21BDC86B" w14:textId="77777777" w:rsidR="00405762" w:rsidRDefault="0040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35CB" w14:textId="77777777" w:rsidR="00577F54" w:rsidRDefault="00000000">
    <w:pPr>
      <w:jc w:val="center"/>
    </w:pPr>
    <w:r>
      <w:rPr>
        <w:sz w:val="20"/>
        <w:szCs w:val="20"/>
      </w:rPr>
      <w:fldChar w:fldCharType="begin"/>
    </w:r>
    <w:r>
      <w:rPr>
        <w:rFonts w:eastAsia="Times New Roman"/>
        <w:sz w:val="20"/>
        <w:szCs w:val="20"/>
      </w:rPr>
      <w:instrText>PAGE</w:instrText>
    </w:r>
    <w:r>
      <w:rPr>
        <w:sz w:val="20"/>
        <w:szCs w:val="20"/>
      </w:rPr>
      <w:fldChar w:fldCharType="separate"/>
    </w:r>
    <w:r w:rsidR="002A1C57">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26CD" w14:textId="77777777" w:rsidR="00405762" w:rsidRDefault="00405762">
      <w:r>
        <w:separator/>
      </w:r>
    </w:p>
  </w:footnote>
  <w:footnote w:type="continuationSeparator" w:id="0">
    <w:p w14:paraId="0B953356" w14:textId="77777777" w:rsidR="00405762" w:rsidRDefault="00405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E4824"/>
    <w:multiLevelType w:val="hybridMultilevel"/>
    <w:tmpl w:val="C20CCA58"/>
    <w:lvl w:ilvl="0" w:tplc="3A4CF630">
      <w:start w:val="1"/>
      <w:numFmt w:val="bullet"/>
      <w:lvlText w:val="●"/>
      <w:lvlJc w:val="left"/>
      <w:pPr>
        <w:ind w:left="720" w:hanging="360"/>
      </w:pPr>
    </w:lvl>
    <w:lvl w:ilvl="1" w:tplc="44E0C51E">
      <w:start w:val="1"/>
      <w:numFmt w:val="bullet"/>
      <w:lvlText w:val="○"/>
      <w:lvlJc w:val="left"/>
      <w:pPr>
        <w:ind w:left="1440" w:hanging="360"/>
      </w:pPr>
    </w:lvl>
    <w:lvl w:ilvl="2" w:tplc="A2BC8C8E">
      <w:start w:val="1"/>
      <w:numFmt w:val="bullet"/>
      <w:lvlText w:val="■"/>
      <w:lvlJc w:val="left"/>
      <w:pPr>
        <w:ind w:left="2160" w:hanging="360"/>
      </w:pPr>
    </w:lvl>
    <w:lvl w:ilvl="3" w:tplc="894491E0">
      <w:start w:val="1"/>
      <w:numFmt w:val="bullet"/>
      <w:lvlText w:val="●"/>
      <w:lvlJc w:val="left"/>
      <w:pPr>
        <w:ind w:left="2880" w:hanging="360"/>
      </w:pPr>
    </w:lvl>
    <w:lvl w:ilvl="4" w:tplc="CB2C15EC">
      <w:start w:val="1"/>
      <w:numFmt w:val="bullet"/>
      <w:lvlText w:val="○"/>
      <w:lvlJc w:val="left"/>
      <w:pPr>
        <w:ind w:left="3600" w:hanging="360"/>
      </w:pPr>
    </w:lvl>
    <w:lvl w:ilvl="5" w:tplc="8496F222">
      <w:start w:val="1"/>
      <w:numFmt w:val="bullet"/>
      <w:lvlText w:val="■"/>
      <w:lvlJc w:val="left"/>
      <w:pPr>
        <w:ind w:left="4320" w:hanging="360"/>
      </w:pPr>
    </w:lvl>
    <w:lvl w:ilvl="6" w:tplc="AE14C870">
      <w:start w:val="1"/>
      <w:numFmt w:val="bullet"/>
      <w:lvlText w:val="●"/>
      <w:lvlJc w:val="left"/>
      <w:pPr>
        <w:ind w:left="5040" w:hanging="360"/>
      </w:pPr>
    </w:lvl>
    <w:lvl w:ilvl="7" w:tplc="0B306C12">
      <w:start w:val="1"/>
      <w:numFmt w:val="bullet"/>
      <w:lvlText w:val="●"/>
      <w:lvlJc w:val="left"/>
      <w:pPr>
        <w:ind w:left="5760" w:hanging="360"/>
      </w:pPr>
    </w:lvl>
    <w:lvl w:ilvl="8" w:tplc="65A87F30">
      <w:start w:val="1"/>
      <w:numFmt w:val="bullet"/>
      <w:lvlText w:val="●"/>
      <w:lvlJc w:val="left"/>
      <w:pPr>
        <w:ind w:left="6480" w:hanging="360"/>
      </w:pPr>
    </w:lvl>
  </w:abstractNum>
  <w:num w:numId="1" w16cid:durableId="175926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54"/>
    <w:rsid w:val="002A1C57"/>
    <w:rsid w:val="00405762"/>
    <w:rsid w:val="00577F54"/>
    <w:rsid w:val="00A5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893B18"/>
  <w15:docId w15:val="{80EAF5E6-A562-534F-BFA3-3F39584C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1685</Words>
  <Characters>10772</Characters>
  <Application>Microsoft Office Word</Application>
  <DocSecurity>0</DocSecurity>
  <Lines>170</Lines>
  <Paragraphs>64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Yang, Yicheng</cp:lastModifiedBy>
  <cp:revision>2</cp:revision>
  <dcterms:created xsi:type="dcterms:W3CDTF">2026-04-03T05:04:00Z</dcterms:created>
  <dcterms:modified xsi:type="dcterms:W3CDTF">2026-04-03T05:06:00Z</dcterms:modified>
</cp:coreProperties>
</file>